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815003" w14:textId="77777777" w:rsidR="00516377" w:rsidRDefault="002D1A27" w:rsidP="00516377">
      <w:pPr>
        <w:jc w:val="center"/>
      </w:pPr>
      <w:r>
        <w:rPr>
          <w:noProof/>
        </w:rPr>
        <mc:AlternateContent>
          <mc:Choice Requires="wps">
            <w:drawing>
              <wp:anchor distT="45720" distB="45720" distL="114300" distR="114300" simplePos="0" relativeHeight="251662336" behindDoc="1" locked="0" layoutInCell="1" allowOverlap="1" wp14:anchorId="2236EEC4" wp14:editId="30729199">
                <wp:simplePos x="0" y="0"/>
                <wp:positionH relativeFrom="margin">
                  <wp:align>center</wp:align>
                </wp:positionH>
                <wp:positionV relativeFrom="paragraph">
                  <wp:posOffset>-86360</wp:posOffset>
                </wp:positionV>
                <wp:extent cx="6203950" cy="603250"/>
                <wp:effectExtent l="0" t="0" r="6350" b="6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0" cy="603250"/>
                        </a:xfrm>
                        <a:prstGeom prst="rect">
                          <a:avLst/>
                        </a:prstGeom>
                        <a:solidFill>
                          <a:srgbClr val="FFFFFF"/>
                        </a:solidFill>
                        <a:ln w="9525">
                          <a:noFill/>
                          <a:miter lim="800000"/>
                          <a:headEnd/>
                          <a:tailEnd/>
                        </a:ln>
                      </wps:spPr>
                      <wps:txbx>
                        <w:txbxContent>
                          <w:p w14:paraId="133D0D30" w14:textId="77777777" w:rsidR="003931A9" w:rsidRPr="002D1A27" w:rsidRDefault="003931A9" w:rsidP="003931A9">
                            <w:pPr>
                              <w:jc w:val="center"/>
                              <w:rPr>
                                <w:rFonts w:cs="Tahoma"/>
                                <w:sz w:val="24"/>
                                <w:szCs w:val="24"/>
                              </w:rPr>
                            </w:pPr>
                            <w:r w:rsidRPr="002D1A27">
                              <w:rPr>
                                <w:rFonts w:cs="Tahoma"/>
                                <w:b/>
                                <w:color w:val="004F6E"/>
                                <w:sz w:val="24"/>
                                <w:szCs w:val="24"/>
                              </w:rPr>
                              <w:t>PRACTICE ADVISORY</w:t>
                            </w:r>
                            <w:r w:rsidRPr="002D1A27">
                              <w:rPr>
                                <w:rFonts w:cs="Tahoma"/>
                                <w:color w:val="004F6E"/>
                                <w:sz w:val="24"/>
                                <w:szCs w:val="24"/>
                              </w:rPr>
                              <w:t xml:space="preserve"> | </w:t>
                            </w:r>
                            <w:r w:rsidR="00AF4715">
                              <w:rPr>
                                <w:rFonts w:cs="Tahoma"/>
                                <w:color w:val="004F6E"/>
                                <w:sz w:val="24"/>
                                <w:szCs w:val="24"/>
                              </w:rPr>
                              <w:t>08/01/2018</w:t>
                            </w:r>
                            <w:r w:rsidRPr="002D1A27">
                              <w:rPr>
                                <w:rFonts w:cs="Tahoma"/>
                                <w:color w:val="004F6E"/>
                                <w:sz w:val="24"/>
                                <w:szCs w:val="24"/>
                              </w:rPr>
                              <w:t xml:space="preserve">| </w:t>
                            </w:r>
                            <w:r w:rsidR="00AF4715">
                              <w:rPr>
                                <w:rFonts w:cs="Tahoma"/>
                                <w:color w:val="004F6E"/>
                                <w:sz w:val="24"/>
                                <w:szCs w:val="24"/>
                              </w:rPr>
                              <w:t>Nick Ainslie/</w:t>
                            </w:r>
                            <w:r w:rsidRPr="002D1A27">
                              <w:rPr>
                                <w:rFonts w:cs="Tahoma"/>
                                <w:color w:val="004F6E"/>
                                <w:sz w:val="24"/>
                                <w:szCs w:val="24"/>
                              </w:rPr>
                              <w:t>Cindy Arends Elsberry</w:t>
                            </w:r>
                            <w:r w:rsidR="00CB7580" w:rsidRPr="002D1A27">
                              <w:rPr>
                                <w:rFonts w:cs="Tahoma"/>
                                <w:color w:val="004F6E"/>
                                <w:sz w:val="24"/>
                                <w:szCs w:val="24"/>
                              </w:rPr>
                              <w:t xml:space="preserve"> </w:t>
                            </w:r>
                            <w:r w:rsidR="006269EC" w:rsidRPr="002D1A27">
                              <w:rPr>
                                <w:rFonts w:cs="Tahoma"/>
                                <w:color w:val="004F6E"/>
                                <w:sz w:val="24"/>
                                <w:szCs w:val="24"/>
                              </w:rPr>
                              <w:br/>
                            </w:r>
                            <w:r w:rsidR="00AF4715">
                              <w:rPr>
                                <w:rFonts w:cs="Tahoma"/>
                                <w:color w:val="014F6E"/>
                                <w:sz w:val="24"/>
                                <w:szCs w:val="24"/>
                              </w:rPr>
                              <w:t>Adolescent Brain Development -Important Cases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o="http://schemas.microsoft.com/office/mac/office/2008/main" xmlns:mv="urn:schemas-microsoft-com:mac:vml">
            <w:pict>
              <v:shapetype w14:anchorId="2236EEC4" id="_x0000_t202" coordsize="21600,21600" o:spt="202" path="m0,0l0,21600,21600,21600,21600,0xe">
                <v:stroke joinstyle="miter"/>
                <v:path gradientshapeok="t" o:connecttype="rect"/>
              </v:shapetype>
              <v:shape id="Text Box 5" o:spid="_x0000_s1026" type="#_x0000_t202" style="position:absolute;left:0;text-align:left;margin-left:0;margin-top:-6.75pt;width:488.5pt;height:47.5pt;z-index:-25165414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" stroked="f">
                <v:textbox style="mso-fit-shape-to-text:t">
                  <w:txbxContent>
                    <w:p w14:paraId="133D0D30" w14:textId="77777777" w:rsidR="003931A9" w:rsidRPr="002D1A27" w:rsidRDefault="003931A9" w:rsidP="003931A9">
                      <w:pPr>
                        <w:jc w:val="center"/>
                        <w:rPr>
                          <w:rFonts w:cs="Tahoma"/>
                          <w:sz w:val="24"/>
                          <w:szCs w:val="24"/>
                        </w:rPr>
                      </w:pPr>
                      <w:r w:rsidRPr="002D1A27">
                        <w:rPr>
                          <w:rFonts w:cs="Tahoma"/>
                          <w:b/>
                          <w:color w:val="004F6E"/>
                          <w:sz w:val="24"/>
                          <w:szCs w:val="24"/>
                        </w:rPr>
                        <w:t>PRACTICE ADVISORY</w:t>
                      </w:r>
                      <w:r w:rsidRPr="002D1A27">
                        <w:rPr>
                          <w:rFonts w:cs="Tahoma"/>
                          <w:color w:val="004F6E"/>
                          <w:sz w:val="24"/>
                          <w:szCs w:val="24"/>
                        </w:rPr>
                        <w:t xml:space="preserve"> | </w:t>
                      </w:r>
                      <w:r w:rsidR="00AF4715">
                        <w:rPr>
                          <w:rFonts w:cs="Tahoma"/>
                          <w:color w:val="004F6E"/>
                          <w:sz w:val="24"/>
                          <w:szCs w:val="24"/>
                        </w:rPr>
                        <w:t>08/01/2018</w:t>
                      </w:r>
                      <w:r w:rsidRPr="002D1A27">
                        <w:rPr>
                          <w:rFonts w:cs="Tahoma"/>
                          <w:color w:val="004F6E"/>
                          <w:sz w:val="24"/>
                          <w:szCs w:val="24"/>
                        </w:rPr>
                        <w:t xml:space="preserve">| </w:t>
                      </w:r>
                      <w:r w:rsidR="00AF4715">
                        <w:rPr>
                          <w:rFonts w:cs="Tahoma"/>
                          <w:color w:val="004F6E"/>
                          <w:sz w:val="24"/>
                          <w:szCs w:val="24"/>
                        </w:rPr>
                        <w:t>Nick Ainslie/</w:t>
                      </w:r>
                      <w:r w:rsidRPr="002D1A27">
                        <w:rPr>
                          <w:rFonts w:cs="Tahoma"/>
                          <w:color w:val="004F6E"/>
                          <w:sz w:val="24"/>
                          <w:szCs w:val="24"/>
                        </w:rPr>
                        <w:t xml:space="preserve">Cindy </w:t>
                      </w:r>
                      <w:proofErr w:type="spellStart"/>
                      <w:r w:rsidRPr="002D1A27">
                        <w:rPr>
                          <w:rFonts w:cs="Tahoma"/>
                          <w:color w:val="004F6E"/>
                          <w:sz w:val="24"/>
                          <w:szCs w:val="24"/>
                        </w:rPr>
                        <w:t>Arends</w:t>
                      </w:r>
                      <w:proofErr w:type="spellEnd"/>
                      <w:r w:rsidRPr="002D1A27">
                        <w:rPr>
                          <w:rFonts w:cs="Tahoma"/>
                          <w:color w:val="004F6E"/>
                          <w:sz w:val="24"/>
                          <w:szCs w:val="24"/>
                        </w:rPr>
                        <w:t xml:space="preserve"> Elsberry</w:t>
                      </w:r>
                      <w:r w:rsidR="00CB7580" w:rsidRPr="002D1A27">
                        <w:rPr>
                          <w:rFonts w:cs="Tahoma"/>
                          <w:color w:val="004F6E"/>
                          <w:sz w:val="24"/>
                          <w:szCs w:val="24"/>
                        </w:rPr>
                        <w:t xml:space="preserve"> </w:t>
                      </w:r>
                      <w:r w:rsidR="006269EC" w:rsidRPr="002D1A27">
                        <w:rPr>
                          <w:rFonts w:cs="Tahoma"/>
                          <w:color w:val="004F6E"/>
                          <w:sz w:val="24"/>
                          <w:szCs w:val="24"/>
                        </w:rPr>
                        <w:br/>
                      </w:r>
                      <w:r w:rsidR="00AF4715">
                        <w:rPr>
                          <w:rFonts w:cs="Tahoma"/>
                          <w:color w:val="014F6E"/>
                          <w:sz w:val="24"/>
                          <w:szCs w:val="24"/>
                        </w:rPr>
                        <w:t>Adolescent Brain Development -Important Cases</w:t>
                      </w:r>
                    </w:p>
                  </w:txbxContent>
                </v:textbox>
                <w10:wrap anchorx="margin"/>
              </v:shape>
            </w:pict>
          </mc:Fallback>
        </mc:AlternateContent>
      </w:r>
      <w:r>
        <w:rPr>
          <w:noProof/>
        </w:rPr>
        <w:drawing>
          <wp:anchor distT="0" distB="0" distL="114300" distR="114300" simplePos="0" relativeHeight="251658240" behindDoc="1" locked="0" layoutInCell="1" allowOverlap="1" wp14:anchorId="36485D7E" wp14:editId="11378C7C">
            <wp:simplePos x="0" y="0"/>
            <wp:positionH relativeFrom="margin">
              <wp:align>center</wp:align>
            </wp:positionH>
            <wp:positionV relativeFrom="paragraph">
              <wp:posOffset>-697230</wp:posOffset>
            </wp:positionV>
            <wp:extent cx="3401568" cy="69494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DA_logo_4.20.17.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401568" cy="694944"/>
                    </a:xfrm>
                    <a:prstGeom prst="rect">
                      <a:avLst/>
                    </a:prstGeom>
                  </pic:spPr>
                </pic:pic>
              </a:graphicData>
            </a:graphic>
            <wp14:sizeRelH relativeFrom="page">
              <wp14:pctWidth>0</wp14:pctWidth>
            </wp14:sizeRelH>
            <wp14:sizeRelV relativeFrom="page">
              <wp14:pctHeight>0</wp14:pctHeight>
            </wp14:sizeRelV>
          </wp:anchor>
        </w:drawing>
      </w:r>
      <w:r w:rsidR="00516377">
        <w:rPr>
          <w:noProof/>
        </w:rPr>
        <mc:AlternateContent>
          <mc:Choice Requires="wps">
            <w:drawing>
              <wp:anchor distT="45720" distB="45720" distL="114300" distR="114300" simplePos="0" relativeHeight="251660288" behindDoc="1" locked="0" layoutInCell="1" allowOverlap="1" wp14:anchorId="1B151F21" wp14:editId="145803AA">
                <wp:simplePos x="0" y="0"/>
                <wp:positionH relativeFrom="column">
                  <wp:posOffset>-447675</wp:posOffset>
                </wp:positionH>
                <wp:positionV relativeFrom="paragraph">
                  <wp:posOffset>8629650</wp:posOffset>
                </wp:positionV>
                <wp:extent cx="6819900" cy="38608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0" cy="386080"/>
                        </a:xfrm>
                        <a:prstGeom prst="rect">
                          <a:avLst/>
                        </a:prstGeom>
                        <a:solidFill>
                          <a:srgbClr val="FFFFFF"/>
                        </a:solidFill>
                        <a:ln w="9525">
                          <a:noFill/>
                          <a:miter lim="800000"/>
                          <a:headEnd/>
                          <a:tailEnd/>
                        </a:ln>
                      </wps:spPr>
                      <wps:txbx>
                        <w:txbxContent>
                          <w:p w14:paraId="48D208C3" w14:textId="77777777" w:rsidR="00516377" w:rsidRPr="00516377" w:rsidRDefault="00516377" w:rsidP="00516377">
                            <w:pPr>
                              <w:jc w:val="center"/>
                              <w:rPr>
                                <w:rFonts w:cs="Tahoma"/>
                              </w:rPr>
                            </w:pPr>
                            <w:r w:rsidRPr="00516377">
                              <w:rPr>
                                <w:rFonts w:cs="Tahoma"/>
                                <w:color w:val="014F6E"/>
                              </w:rPr>
                              <w:t>110 Prefontaine Pl S, Ste 610 Seattle, WA 9810</w:t>
                            </w:r>
                            <w:r w:rsidR="003A17A4">
                              <w:rPr>
                                <w:rFonts w:cs="Tahoma"/>
                                <w:color w:val="014F6E"/>
                              </w:rPr>
                              <w:t>4</w:t>
                            </w:r>
                            <w:r w:rsidRPr="00516377">
                              <w:rPr>
                                <w:rFonts w:cs="Tahoma"/>
                                <w:color w:val="014F6E"/>
                              </w:rPr>
                              <w:t xml:space="preserve"> | Tel: 206-623-4321 | Fax: 206-623-5420 | </w:t>
                            </w:r>
                            <w:r w:rsidRPr="00516377">
                              <w:rPr>
                                <w:rFonts w:cs="Tahoma"/>
                                <w:b/>
                                <w:color w:val="014F6E"/>
                              </w:rPr>
                              <w:t>www.defensenet.org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o="http://schemas.microsoft.com/office/mac/office/2008/main" xmlns:mv="urn:schemas-microsoft-com:mac:vml">
            <w:pict>
              <v:shape w14:anchorId="1B151F21" id="Text Box 2" o:spid="_x0000_s1027" type="#_x0000_t202" style="position:absolute;left:0;text-align:left;margin-left:-35.25pt;margin-top:679.5pt;width:537pt;height:30.4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" stroked="f">
                <v:textbox style="mso-fit-shape-to-text:t">
                  <w:txbxContent>
                    <w:p w14:paraId="48D208C3" w14:textId="77777777" w:rsidR="00516377" w:rsidRPr="00516377" w:rsidRDefault="00516377" w:rsidP="00516377">
                      <w:pPr>
                        <w:jc w:val="center"/>
                        <w:rPr>
                          <w:rFonts w:cs="Tahoma"/>
                        </w:rPr>
                      </w:pPr>
                      <w:r w:rsidRPr="00516377">
                        <w:rPr>
                          <w:rFonts w:cs="Tahoma"/>
                          <w:color w:val="014F6E"/>
                        </w:rPr>
                        <w:t xml:space="preserve">110 </w:t>
                      </w:r>
                      <w:proofErr w:type="spellStart"/>
                      <w:r w:rsidRPr="00516377">
                        <w:rPr>
                          <w:rFonts w:cs="Tahoma"/>
                          <w:color w:val="014F6E"/>
                        </w:rPr>
                        <w:t>Prefontaine</w:t>
                      </w:r>
                      <w:proofErr w:type="spellEnd"/>
                      <w:r w:rsidRPr="00516377">
                        <w:rPr>
                          <w:rFonts w:cs="Tahoma"/>
                          <w:color w:val="014F6E"/>
                        </w:rPr>
                        <w:t xml:space="preserve"> Pl S, </w:t>
                      </w:r>
                      <w:proofErr w:type="spellStart"/>
                      <w:r w:rsidRPr="00516377">
                        <w:rPr>
                          <w:rFonts w:cs="Tahoma"/>
                          <w:color w:val="014F6E"/>
                        </w:rPr>
                        <w:t>Ste</w:t>
                      </w:r>
                      <w:proofErr w:type="spellEnd"/>
                      <w:r w:rsidRPr="00516377">
                        <w:rPr>
                          <w:rFonts w:cs="Tahoma"/>
                          <w:color w:val="014F6E"/>
                        </w:rPr>
                        <w:t xml:space="preserve"> 610 Seattle, WA 9810</w:t>
                      </w:r>
                      <w:r w:rsidR="003A17A4">
                        <w:rPr>
                          <w:rFonts w:cs="Tahoma"/>
                          <w:color w:val="014F6E"/>
                        </w:rPr>
                        <w:t>4</w:t>
                      </w:r>
                      <w:r w:rsidRPr="00516377">
                        <w:rPr>
                          <w:rFonts w:cs="Tahoma"/>
                          <w:color w:val="014F6E"/>
                        </w:rPr>
                        <w:t xml:space="preserve"> | Tel: 206-623-4321 | Fax: 206-623-5420 | </w:t>
                      </w:r>
                      <w:r w:rsidRPr="00516377">
                        <w:rPr>
                          <w:rFonts w:cs="Tahoma"/>
                          <w:b/>
                          <w:color w:val="014F6E"/>
                        </w:rPr>
                        <w:t>www.defensenet.org</w:t>
                      </w:r>
                    </w:p>
                  </w:txbxContent>
                </v:textbox>
              </v:shape>
            </w:pict>
          </mc:Fallback>
        </mc:AlternateContent>
      </w:r>
    </w:p>
    <w:p w14:paraId="3DE75E47" w14:textId="77777777" w:rsidR="00516377" w:rsidRDefault="00516377" w:rsidP="00516377"/>
    <w:p w14:paraId="7018A5CD" w14:textId="77777777" w:rsidR="00AF4715" w:rsidRPr="00DC6B17" w:rsidRDefault="00AF4715" w:rsidP="00DC6B17">
      <w:pPr>
        <w:pStyle w:val="NoSpacing"/>
        <w:rPr>
          <w:b/>
          <w:u w:val="single"/>
        </w:rPr>
      </w:pPr>
      <w:r w:rsidRPr="00DC6B17">
        <w:rPr>
          <w:b/>
          <w:u w:val="single"/>
        </w:rPr>
        <w:t>Roper v. Simmons, 543 U.S. 551 (2005). Abolished capital punishment for juvenile crimes:</w:t>
      </w:r>
    </w:p>
    <w:p w14:paraId="7C9DABC5" w14:textId="0F6D3F4A" w:rsidR="00AF4715" w:rsidRDefault="003B4B60" w:rsidP="00AF4715">
      <w:r>
        <w:t xml:space="preserve">A jury convicted </w:t>
      </w:r>
      <w:r w:rsidR="00AF4715">
        <w:t xml:space="preserve">Christopher Simmons </w:t>
      </w:r>
      <w:r>
        <w:t>of committing</w:t>
      </w:r>
      <w:r w:rsidR="00AF4715">
        <w:t xml:space="preserve"> burglary and </w:t>
      </w:r>
      <w:r>
        <w:t xml:space="preserve">murder when he was 17 years old, and the court </w:t>
      </w:r>
      <w:r w:rsidR="00AF4715">
        <w:t xml:space="preserve">sentenced </w:t>
      </w:r>
      <w:r>
        <w:t xml:space="preserve">him </w:t>
      </w:r>
      <w:r w:rsidR="00AF4715">
        <w:t xml:space="preserve">to death due to aggravating factors. The Supreme Court </w:t>
      </w:r>
      <w:r w:rsidR="00C645BC">
        <w:t>sta</w:t>
      </w:r>
      <w:r w:rsidR="00DC6B17">
        <w:t>t</w:t>
      </w:r>
      <w:r w:rsidR="00C645BC">
        <w:t>ed</w:t>
      </w:r>
      <w:r w:rsidR="00AF4715">
        <w:t xml:space="preserve"> the death penalty should only be given to those “most deserving of execution.” It continued to determine a minor can never be considered “most deserving” due to three theories that have since been used frequently when discussing juvenile sentencing. The Court found 1) juveniles are not yet fully developed, leading to less maturity and responsibility; 2) juveniles are more vulnerable to negative influences and pressures; and 3) juveniles are still developing and their character traits are less fixed. The Court also recognized the importance of the consensus as well as the rate of change. It found that in the United States, the trend was moving away from imposing death penalty on minors, and internationally, all other countries had abolished it. </w:t>
      </w:r>
      <w:r>
        <w:t>The Court ruled sentencing a person to death for juvenile crimes is unconstitutional.</w:t>
      </w:r>
    </w:p>
    <w:p w14:paraId="1CACF398" w14:textId="033F23F0" w:rsidR="00AF4715" w:rsidRDefault="00AF4715" w:rsidP="00425992">
      <w:r>
        <w:t xml:space="preserve">“The qualities that distinguish juveniles from adults do not disappear when an individual turns 18 [just </w:t>
      </w:r>
      <w:r w:rsidR="00DC6B17">
        <w:t>as] some under 18 have already attained a level of maturity some adults will never reach.”</w:t>
      </w:r>
    </w:p>
    <w:p w14:paraId="3209C36B" w14:textId="77777777" w:rsidR="00AF4715" w:rsidRDefault="00AF4715" w:rsidP="00AF4715">
      <w:pPr>
        <w:rPr>
          <w:rFonts w:eastAsia="Times New Roman"/>
        </w:rPr>
      </w:pPr>
      <w:r>
        <w:t>“[The conclusion that juveniles are less culpable]</w:t>
      </w:r>
      <w:r w:rsidRPr="00E45D67">
        <w:rPr>
          <w:rFonts w:eastAsia="Times New Roman"/>
          <w:color w:val="212121"/>
        </w:rPr>
        <w:t> is premised on three perceived differences between “adults,” who have already reached their 18th birthdays, and “juveniles,” who have not. First, juveniles lack maturity and responsibility and are more reckless than adults. Second, juveniles are more vulnerable to outside influences because they have less control over their surroundings. And third, a juvenile's character is not as fully formed as that of an adult</w:t>
      </w:r>
      <w:r>
        <w:rPr>
          <w:rFonts w:eastAsia="Times New Roman"/>
          <w:color w:val="212121"/>
        </w:rPr>
        <w:t xml:space="preserve"> (internal citations omitted).”</w:t>
      </w:r>
    </w:p>
    <w:p w14:paraId="3B9AB85D" w14:textId="77777777" w:rsidR="00AF4715" w:rsidRPr="00DC6B17" w:rsidRDefault="00AF4715" w:rsidP="00DC6B17">
      <w:pPr>
        <w:pStyle w:val="NoSpacing"/>
        <w:rPr>
          <w:b/>
          <w:u w:val="single"/>
        </w:rPr>
      </w:pPr>
      <w:r w:rsidRPr="00DC6B17">
        <w:rPr>
          <w:b/>
          <w:u w:val="single"/>
        </w:rPr>
        <w:t xml:space="preserve">Graham v. Florida, 130 </w:t>
      </w:r>
      <w:proofErr w:type="spellStart"/>
      <w:r w:rsidRPr="00DC6B17">
        <w:rPr>
          <w:b/>
          <w:u w:val="single"/>
        </w:rPr>
        <w:t>S.Ct</w:t>
      </w:r>
      <w:proofErr w:type="spellEnd"/>
      <w:r w:rsidRPr="00DC6B17">
        <w:rPr>
          <w:b/>
          <w:u w:val="single"/>
        </w:rPr>
        <w:t>. 2011 (2010). No life w/o parole for juvenile crimes (unless homicide):</w:t>
      </w:r>
    </w:p>
    <w:p w14:paraId="399F8F1E" w14:textId="5F5BA0F1" w:rsidR="00AF4715" w:rsidRDefault="001902AE" w:rsidP="00AF4715">
      <w:r>
        <w:t xml:space="preserve">When </w:t>
      </w:r>
      <w:r w:rsidR="00AF4715">
        <w:t>Terrance Graham was 16</w:t>
      </w:r>
      <w:r>
        <w:t>, the court placed him on probation</w:t>
      </w:r>
      <w:r w:rsidR="00AF4715">
        <w:t xml:space="preserve"> </w:t>
      </w:r>
      <w:r>
        <w:t>after an</w:t>
      </w:r>
      <w:r w:rsidR="00AF4715">
        <w:t xml:space="preserve"> armed burglary. </w:t>
      </w:r>
      <w:r>
        <w:t>Graham</w:t>
      </w:r>
      <w:r w:rsidR="00AF4715">
        <w:t xml:space="preserve"> violated his probation after he turned 17 and </w:t>
      </w:r>
      <w:r>
        <w:t>the court</w:t>
      </w:r>
      <w:r w:rsidR="00AF4715">
        <w:t xml:space="preserve"> sentenced </w:t>
      </w:r>
      <w:r>
        <w:t xml:space="preserve">him </w:t>
      </w:r>
      <w:r w:rsidR="00AF4715">
        <w:t xml:space="preserve">to life without the possibility of parole. Relying on the three differences between adults and juveniles discussed in </w:t>
      </w:r>
      <w:r w:rsidR="00AF4715" w:rsidRPr="00FD2B3E">
        <w:rPr>
          <w:i/>
        </w:rPr>
        <w:t>Roper</w:t>
      </w:r>
      <w:r w:rsidR="00AF4715">
        <w:t>, t</w:t>
      </w:r>
      <w:r w:rsidR="00AF4715" w:rsidRPr="00FD2B3E">
        <w:t>he</w:t>
      </w:r>
      <w:r w:rsidR="00AF4715">
        <w:t xml:space="preserve"> Supreme Court ruled that sentences must be proportional, and sentencing juveniles to life without parole is categorically unconstitutional, unless they were convicted of a homicide. The Court continued to reason that while juveniles are not blameless, they are not held to the same standards as adults. It also noted that no penological theory justifies such a punishment as it is too extreme to be justified as retributive or a deterrent, and it does not necessarily protect society because juveniles can change.</w:t>
      </w:r>
    </w:p>
    <w:p w14:paraId="394248BE" w14:textId="77777777" w:rsidR="00AF4715" w:rsidRDefault="00AF4715" w:rsidP="00AF4715">
      <w:r>
        <w:t xml:space="preserve">“An offender’s age is relevant to the Eighth Amendment, and criminal procedure laws that fail to take defendants’ youthfulness into account at all would be flawed.” </w:t>
      </w:r>
    </w:p>
    <w:p w14:paraId="3EED6881" w14:textId="77777777" w:rsidR="00AF4715" w:rsidRPr="00DC6B17" w:rsidRDefault="00AF4715" w:rsidP="00DC6B17">
      <w:pPr>
        <w:pStyle w:val="NoSpacing"/>
        <w:rPr>
          <w:b/>
          <w:u w:val="single"/>
        </w:rPr>
      </w:pPr>
      <w:r w:rsidRPr="00DC6B17">
        <w:rPr>
          <w:b/>
          <w:u w:val="single"/>
        </w:rPr>
        <w:t>Miller v. Alabama, 567 U.S. 460 (2012). Requirement to consider youth in sentencing, no mandatory life without parole for juvenile crimes:</w:t>
      </w:r>
    </w:p>
    <w:p w14:paraId="34CF01A5" w14:textId="593A2EFE" w:rsidR="00AF4715" w:rsidRPr="005C16E8" w:rsidRDefault="00AF4715" w:rsidP="00AF4715">
      <w:r>
        <w:t xml:space="preserve">This case was consolidated from 14-year-old </w:t>
      </w:r>
      <w:proofErr w:type="spellStart"/>
      <w:r>
        <w:t>Kuntrell</w:t>
      </w:r>
      <w:proofErr w:type="spellEnd"/>
      <w:r>
        <w:t xml:space="preserve"> Jackson who was an accomplice to a murder during an armed robbery, and 14-year-old Evan Miller who killed his neighbor after a drug-induced theft. The laws of the sentencing states did not allow the judges to consider youth as a mitigating factor. The Supreme Court returned to the precedent of </w:t>
      </w:r>
      <w:r>
        <w:rPr>
          <w:i/>
        </w:rPr>
        <w:t xml:space="preserve">Roper </w:t>
      </w:r>
      <w:r>
        <w:t xml:space="preserve">and </w:t>
      </w:r>
      <w:r>
        <w:rPr>
          <w:i/>
        </w:rPr>
        <w:t>Graham</w:t>
      </w:r>
      <w:r>
        <w:t xml:space="preserve"> to discuss how juveniles are constitutionally different for sentencing purposes. The Court rules that youth must be considered for sentencing, and also extends </w:t>
      </w:r>
      <w:r>
        <w:rPr>
          <w:i/>
        </w:rPr>
        <w:t>Graham</w:t>
      </w:r>
      <w:r>
        <w:t xml:space="preserve"> to rule that any </w:t>
      </w:r>
      <w:r w:rsidR="001902AE">
        <w:t xml:space="preserve">mandatory </w:t>
      </w:r>
      <w:r>
        <w:t>sentence of life without the possibility of parole for juvenile crimes is unconstitutional, even for homicides.</w:t>
      </w:r>
    </w:p>
    <w:p w14:paraId="047ED62F" w14:textId="77777777" w:rsidR="00AF4715" w:rsidRPr="008B3F88" w:rsidRDefault="00AF4715" w:rsidP="00AF4715">
      <w:pPr>
        <w:rPr>
          <w:rFonts w:eastAsia="Times New Roman"/>
        </w:rPr>
      </w:pPr>
      <w:r w:rsidRPr="008B3F88">
        <w:rPr>
          <w:rFonts w:eastAsia="Times New Roman"/>
          <w:color w:val="212121"/>
        </w:rPr>
        <w:lastRenderedPageBreak/>
        <w:t>“By likening life-without-parole sentences for juveniles to the death penalty, </w:t>
      </w:r>
      <w:r w:rsidRPr="008B3F88">
        <w:rPr>
          <w:rStyle w:val="Emphasis"/>
          <w:rFonts w:eastAsia="Times New Roman"/>
          <w:color w:val="212121"/>
        </w:rPr>
        <w:t>Graham</w:t>
      </w:r>
      <w:r w:rsidRPr="008B3F88">
        <w:rPr>
          <w:rFonts w:eastAsia="Times New Roman"/>
          <w:color w:val="212121"/>
        </w:rPr>
        <w:t> makes relevant this Court's cases demanding individualized sentencing in capital cases. In particular, those cases have emphasized that sentencers must be able to consider the mitigating qualities of youth”</w:t>
      </w:r>
    </w:p>
    <w:p w14:paraId="10EB883E" w14:textId="77777777" w:rsidR="00AF4715" w:rsidRPr="00DC6B17" w:rsidRDefault="00AF4715" w:rsidP="00DC6B17">
      <w:pPr>
        <w:pStyle w:val="NoSpacing"/>
        <w:rPr>
          <w:b/>
          <w:u w:val="single"/>
        </w:rPr>
      </w:pPr>
      <w:r w:rsidRPr="00DC6B17">
        <w:rPr>
          <w:b/>
          <w:u w:val="single"/>
        </w:rPr>
        <w:t xml:space="preserve">Montgomery v. Louisiana, 136 </w:t>
      </w:r>
      <w:proofErr w:type="spellStart"/>
      <w:r w:rsidRPr="00DC6B17">
        <w:rPr>
          <w:b/>
          <w:u w:val="single"/>
        </w:rPr>
        <w:t>S.Ct</w:t>
      </w:r>
      <w:proofErr w:type="spellEnd"/>
      <w:r w:rsidRPr="00DC6B17">
        <w:rPr>
          <w:b/>
          <w:u w:val="single"/>
        </w:rPr>
        <w:t>. 718 (2016). Retroactively applies Miller:</w:t>
      </w:r>
    </w:p>
    <w:p w14:paraId="36D66AB8" w14:textId="44951A4F" w:rsidR="00AF4715" w:rsidRDefault="00AF4715" w:rsidP="00AF4715">
      <w:r>
        <w:t>In 1963, Henry Montgomery killed a deputy sheriff w</w:t>
      </w:r>
      <w:r w:rsidR="001902AE">
        <w:t xml:space="preserve">hen he was 17 years old, and the court sentenced him </w:t>
      </w:r>
      <w:r>
        <w:t xml:space="preserve">to life without parole. Almost 50 years later, </w:t>
      </w:r>
      <w:r>
        <w:rPr>
          <w:i/>
        </w:rPr>
        <w:t xml:space="preserve">Miller </w:t>
      </w:r>
      <w:r>
        <w:t xml:space="preserve">ruled age must be considered </w:t>
      </w:r>
      <w:r w:rsidR="00995E01">
        <w:t>when</w:t>
      </w:r>
      <w:r>
        <w:t xml:space="preserve"> sentencing an individual to life without parole for a </w:t>
      </w:r>
      <w:r w:rsidR="00995E01">
        <w:t>juvenile crime</w:t>
      </w:r>
      <w:r>
        <w:t>. Montgomery sou</w:t>
      </w:r>
      <w:r w:rsidR="008C1FC7">
        <w:t>ght review of his</w:t>
      </w:r>
      <w:r>
        <w:t xml:space="preserve"> sentence, but Louisiana did not allow for it. The Supreme Court found because the change was a new substantive rule of constitutional law, it must be applied retroactively. This led to Washington creating the “Miller fix.” </w:t>
      </w:r>
    </w:p>
    <w:p w14:paraId="6ACCB1FC" w14:textId="507E6586" w:rsidR="00AF4715" w:rsidRPr="00616704" w:rsidRDefault="00B056E8" w:rsidP="00AF4715">
      <w:pPr>
        <w:rPr>
          <w:rFonts w:eastAsia="Times New Roman"/>
        </w:rPr>
      </w:pPr>
      <w:r w:rsidRPr="00616704">
        <w:t xml:space="preserve"> </w:t>
      </w:r>
      <w:r w:rsidR="00AF4715" w:rsidRPr="00616704">
        <w:t>“</w:t>
      </w:r>
      <w:r w:rsidR="00AF4715" w:rsidRPr="00616704">
        <w:rPr>
          <w:rFonts w:eastAsia="Times New Roman"/>
          <w:color w:val="212121"/>
        </w:rPr>
        <w:t>The only difference between </w:t>
      </w:r>
      <w:r w:rsidR="00AF4715" w:rsidRPr="00616704">
        <w:rPr>
          <w:rStyle w:val="Emphasis"/>
          <w:rFonts w:eastAsia="Times New Roman"/>
          <w:color w:val="212121"/>
        </w:rPr>
        <w:t>Roper</w:t>
      </w:r>
      <w:r w:rsidR="00AF4715" w:rsidRPr="00616704">
        <w:rPr>
          <w:rFonts w:eastAsia="Times New Roman"/>
          <w:color w:val="212121"/>
        </w:rPr>
        <w:t> and </w:t>
      </w:r>
      <w:r w:rsidR="00AF4715" w:rsidRPr="00616704">
        <w:rPr>
          <w:rStyle w:val="Emphasis"/>
          <w:rFonts w:eastAsia="Times New Roman"/>
          <w:color w:val="212121"/>
        </w:rPr>
        <w:t>Graham,</w:t>
      </w:r>
      <w:r w:rsidR="00AF4715" w:rsidRPr="00616704">
        <w:rPr>
          <w:rFonts w:eastAsia="Times New Roman"/>
          <w:color w:val="212121"/>
        </w:rPr>
        <w:t> on the one hand, and </w:t>
      </w:r>
      <w:r w:rsidR="00AF4715" w:rsidRPr="00616704">
        <w:rPr>
          <w:rStyle w:val="Emphasis"/>
          <w:rFonts w:eastAsia="Times New Roman"/>
          <w:color w:val="212121"/>
        </w:rPr>
        <w:t>Miller</w:t>
      </w:r>
      <w:r w:rsidR="00AF4715" w:rsidRPr="00616704">
        <w:rPr>
          <w:rFonts w:eastAsia="Times New Roman"/>
          <w:color w:val="212121"/>
        </w:rPr>
        <w:t>, on the other hand, is that </w:t>
      </w:r>
      <w:r w:rsidR="00AF4715" w:rsidRPr="00616704">
        <w:rPr>
          <w:rStyle w:val="Emphasis"/>
          <w:rFonts w:eastAsia="Times New Roman"/>
          <w:color w:val="212121"/>
        </w:rPr>
        <w:t>Miller</w:t>
      </w:r>
      <w:r w:rsidR="00AF4715" w:rsidRPr="00616704">
        <w:rPr>
          <w:rFonts w:eastAsia="Times New Roman"/>
          <w:color w:val="212121"/>
        </w:rPr>
        <w:t> drew a line between children whose crimes reflect transient immaturity and those rare children whose crimes reflect irreparable corruption.”</w:t>
      </w:r>
    </w:p>
    <w:p w14:paraId="49D4F660" w14:textId="77777777" w:rsidR="00AF4715" w:rsidRPr="00DC6B17" w:rsidRDefault="00AF4715" w:rsidP="00DC6B17">
      <w:pPr>
        <w:pStyle w:val="NoSpacing"/>
        <w:rPr>
          <w:b/>
          <w:u w:val="single"/>
        </w:rPr>
      </w:pPr>
      <w:r w:rsidRPr="00DC6B17">
        <w:rPr>
          <w:b/>
          <w:u w:val="single"/>
        </w:rPr>
        <w:t>State v. O’Dell, 183 Wash.2d 680 (2017). Not considering youthfulness warrants remand:</w:t>
      </w:r>
    </w:p>
    <w:p w14:paraId="09FC9506" w14:textId="72F87158" w:rsidR="00AF4715" w:rsidRDefault="00E67936" w:rsidP="00AF4715">
      <w:r>
        <w:t xml:space="preserve">A jury convicted Sean O’Dell </w:t>
      </w:r>
      <w:r w:rsidR="00AF4715">
        <w:t xml:space="preserve">of </w:t>
      </w:r>
      <w:proofErr w:type="gramStart"/>
      <w:r w:rsidR="00AF4715">
        <w:t>second degree</w:t>
      </w:r>
      <w:proofErr w:type="gramEnd"/>
      <w:r w:rsidR="00AF4715">
        <w:t xml:space="preserve"> rape of a child and </w:t>
      </w:r>
      <w:r>
        <w:t>the court</w:t>
      </w:r>
      <w:r w:rsidR="00AF4715">
        <w:t xml:space="preserve"> sentenced </w:t>
      </w:r>
      <w:r>
        <w:t xml:space="preserve">him </w:t>
      </w:r>
      <w:r w:rsidR="00AF4715">
        <w:t>within the standard range to 95 months. O’Dell was 10 days past his 18th birthday at the time of the offense, and would have been sentenced to 15-39 weeks as a juvenile. The Washington Supreme Court said that youth was not already considered in the adult sentencing range, so it must be considered elsewhere. It continued to rule that failure to exercise discretion is itself an abuse of discretion, and youth must be considered during sentencing.</w:t>
      </w:r>
    </w:p>
    <w:p w14:paraId="39EDB9FB" w14:textId="77777777" w:rsidR="00AF4715" w:rsidRDefault="00AF4715" w:rsidP="00AF4715">
      <w:r>
        <w:t>“We hold that a defendant</w:t>
      </w:r>
      <w:r w:rsidR="00351E9D">
        <w:t>’</w:t>
      </w:r>
      <w:r>
        <w:t>s youthfulness can support an exceptional sentence below the standard range applicable to an adult felony defendant, and that the sentencing court must exercise its discretion to decide when that is.”</w:t>
      </w:r>
    </w:p>
    <w:p w14:paraId="7004B1DD" w14:textId="77777777" w:rsidR="00AF4715" w:rsidRPr="00DC6B17" w:rsidRDefault="00AF4715" w:rsidP="00DC6B17">
      <w:pPr>
        <w:pStyle w:val="NoSpacing"/>
        <w:rPr>
          <w:b/>
          <w:u w:val="single"/>
        </w:rPr>
      </w:pPr>
      <w:r w:rsidRPr="00DC6B17">
        <w:rPr>
          <w:b/>
          <w:u w:val="single"/>
        </w:rPr>
        <w:t>State v. Houston-</w:t>
      </w:r>
      <w:proofErr w:type="spellStart"/>
      <w:r w:rsidRPr="00DC6B17">
        <w:rPr>
          <w:b/>
          <w:u w:val="single"/>
        </w:rPr>
        <w:t>Sconiers</w:t>
      </w:r>
      <w:proofErr w:type="spellEnd"/>
      <w:r w:rsidRPr="00DC6B17">
        <w:rPr>
          <w:b/>
          <w:u w:val="single"/>
        </w:rPr>
        <w:t>, 391 P.3d 409 (2017). Youth allows for discretion with mandatory enhancements:</w:t>
      </w:r>
    </w:p>
    <w:p w14:paraId="7F2869C3" w14:textId="545B16AC" w:rsidR="00AF4715" w:rsidRPr="007576AE" w:rsidRDefault="00AF4715" w:rsidP="00AF4715">
      <w:r>
        <w:t xml:space="preserve">On Halloween, </w:t>
      </w:r>
      <w:proofErr w:type="spellStart"/>
      <w:r>
        <w:t>Zyion</w:t>
      </w:r>
      <w:proofErr w:type="spellEnd"/>
      <w:r>
        <w:t xml:space="preserve"> Houston-</w:t>
      </w:r>
      <w:proofErr w:type="spellStart"/>
      <w:r>
        <w:t>Sconiers</w:t>
      </w:r>
      <w:proofErr w:type="spellEnd"/>
      <w:r>
        <w:t xml:space="preserve"> and </w:t>
      </w:r>
      <w:proofErr w:type="spellStart"/>
      <w:r>
        <w:t>Treson</w:t>
      </w:r>
      <w:proofErr w:type="spellEnd"/>
      <w:r>
        <w:t xml:space="preserve"> Roberts, 17 and 16 respectively, robbed other children for their candy and cell phones. </w:t>
      </w:r>
      <w:r w:rsidR="00194EFB">
        <w:t>The adult court gave them</w:t>
      </w:r>
      <w:r>
        <w:t xml:space="preserve"> 31 and 26 years due to mandatory firearm enhancements. The trial court did not believe it had the discretion to consider youth for mandatory sentences, but the Washington Supreme Court disagreed. It said that the considerations required by </w:t>
      </w:r>
      <w:r>
        <w:rPr>
          <w:i/>
        </w:rPr>
        <w:t>Miller</w:t>
      </w:r>
      <w:r>
        <w:t xml:space="preserve"> require the discretion to be extended.</w:t>
      </w:r>
    </w:p>
    <w:p w14:paraId="4C6E4F0E" w14:textId="77777777" w:rsidR="00AF4715" w:rsidRDefault="00AF4715" w:rsidP="00AF4715">
      <w:r w:rsidDel="00AF4715">
        <w:t xml:space="preserve"> </w:t>
      </w:r>
      <w:r>
        <w:t>“[W]e hold that sentencing courts must have complete discretion to consider mitigating circumstances associated with the youth of any juvenile defendant, even in the adult criminal justice system . . .”</w:t>
      </w:r>
    </w:p>
    <w:p w14:paraId="3EDBB79C" w14:textId="77777777" w:rsidR="00AF4715" w:rsidRPr="00DC6B17" w:rsidRDefault="00AF4715" w:rsidP="00DC6B17">
      <w:pPr>
        <w:pStyle w:val="NoSpacing"/>
        <w:rPr>
          <w:b/>
          <w:u w:val="single"/>
        </w:rPr>
      </w:pPr>
      <w:r w:rsidRPr="00DC6B17">
        <w:rPr>
          <w:b/>
          <w:u w:val="single"/>
        </w:rPr>
        <w:t>J.D.B. v. North Carolina, 564 U.S. 261 (2011). More uses for youth mitigation – Fourth Amendment:</w:t>
      </w:r>
    </w:p>
    <w:p w14:paraId="0E1FA841" w14:textId="56837929" w:rsidR="00AF4715" w:rsidRDefault="003C1392" w:rsidP="00AF4715">
      <w:r>
        <w:t>Witnesses spotted</w:t>
      </w:r>
      <w:r w:rsidR="00AD4636">
        <w:t xml:space="preserve"> </w:t>
      </w:r>
      <w:r>
        <w:t xml:space="preserve">13-year-old </w:t>
      </w:r>
      <w:r w:rsidR="00AF4715">
        <w:t xml:space="preserve">J.D.B. near the site of two home break-ins. When </w:t>
      </w:r>
      <w:r w:rsidR="00D34413">
        <w:t>administrators saw him</w:t>
      </w:r>
      <w:r w:rsidR="00AF4715">
        <w:t xml:space="preserve"> at school with a stolen item, he was questioned by a uniformed police officer and school administrators in a closed room. He was not given Miranda rights and confessed. The Supreme Court ruled age should be taken into account in more than just sentencing as juveniles are less developed and more sensitive to pressures. It then ordered age to be considered when deciding whether someone was in custody for Fourth Amendment purposes. </w:t>
      </w:r>
    </w:p>
    <w:p w14:paraId="681C56B3" w14:textId="38589632" w:rsidR="00355569" w:rsidRPr="002C2E38" w:rsidRDefault="005D2F2B" w:rsidP="00516377">
      <w:pPr>
        <w:rPr>
          <w:rFonts w:eastAsia="Times New Roman" w:cs="Times New Roman"/>
        </w:rPr>
      </w:pPr>
      <w:r w:rsidRPr="002C2E38">
        <w:rPr>
          <w:rFonts w:eastAsia="Times New Roman"/>
        </w:rPr>
        <w:t>“</w:t>
      </w:r>
      <w:r w:rsidRPr="002C2E38">
        <w:rPr>
          <w:rFonts w:eastAsia="Times New Roman" w:cs="Arial"/>
          <w:color w:val="212121"/>
        </w:rPr>
        <w:t>Although citation to social science and cognitive science authorities is unnecessary to establish these commonsense propositions, the literature confirms what experience bears out.</w:t>
      </w:r>
      <w:r w:rsidRPr="002C2E38">
        <w:rPr>
          <w:rFonts w:eastAsia="Times New Roman" w:cs="Times New Roman"/>
        </w:rPr>
        <w:t>"</w:t>
      </w:r>
    </w:p>
    <w:sectPr w:rsidR="00355569" w:rsidRPr="002C2E3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14EE9" w14:textId="77777777" w:rsidR="00D25EA4" w:rsidRDefault="00D25EA4" w:rsidP="00AF4715">
      <w:pPr>
        <w:spacing w:after="0" w:line="240" w:lineRule="auto"/>
      </w:pPr>
      <w:r>
        <w:separator/>
      </w:r>
    </w:p>
  </w:endnote>
  <w:endnote w:type="continuationSeparator" w:id="0">
    <w:p w14:paraId="7A4B9214" w14:textId="77777777" w:rsidR="00D25EA4" w:rsidRDefault="00D25EA4" w:rsidP="00AF4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7625952"/>
      <w:docPartObj>
        <w:docPartGallery w:val="Page Numbers (Bottom of Page)"/>
        <w:docPartUnique/>
      </w:docPartObj>
    </w:sdtPr>
    <w:sdtEndPr>
      <w:rPr>
        <w:noProof/>
      </w:rPr>
    </w:sdtEndPr>
    <w:sdtContent>
      <w:p w14:paraId="5A72A53E" w14:textId="17019A03" w:rsidR="00AF4715" w:rsidRDefault="00AF4715">
        <w:pPr>
          <w:pStyle w:val="Footer"/>
          <w:jc w:val="right"/>
        </w:pPr>
        <w:r>
          <w:fldChar w:fldCharType="begin"/>
        </w:r>
        <w:r>
          <w:instrText xml:space="preserve"> PAGE   \* MERGEFORMAT </w:instrText>
        </w:r>
        <w:r>
          <w:fldChar w:fldCharType="separate"/>
        </w:r>
        <w:r w:rsidR="00F64CCF">
          <w:rPr>
            <w:noProof/>
          </w:rPr>
          <w:t>2</w:t>
        </w:r>
        <w:r>
          <w:rPr>
            <w:noProof/>
          </w:rPr>
          <w:fldChar w:fldCharType="end"/>
        </w:r>
      </w:p>
    </w:sdtContent>
  </w:sdt>
  <w:p w14:paraId="7B3A229F" w14:textId="77777777" w:rsidR="00AF4715" w:rsidRDefault="00AF4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FD917" w14:textId="77777777" w:rsidR="00D25EA4" w:rsidRDefault="00D25EA4" w:rsidP="00AF4715">
      <w:pPr>
        <w:spacing w:after="0" w:line="240" w:lineRule="auto"/>
      </w:pPr>
      <w:r>
        <w:separator/>
      </w:r>
    </w:p>
  </w:footnote>
  <w:footnote w:type="continuationSeparator" w:id="0">
    <w:p w14:paraId="1561D2B3" w14:textId="77777777" w:rsidR="00D25EA4" w:rsidRDefault="00D25EA4" w:rsidP="00AF47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377"/>
    <w:rsid w:val="0004662B"/>
    <w:rsid w:val="00064500"/>
    <w:rsid w:val="000D33B0"/>
    <w:rsid w:val="00117A22"/>
    <w:rsid w:val="001902AE"/>
    <w:rsid w:val="0019147F"/>
    <w:rsid w:val="00194EFB"/>
    <w:rsid w:val="001F7A61"/>
    <w:rsid w:val="002370FD"/>
    <w:rsid w:val="002C112E"/>
    <w:rsid w:val="002C2E38"/>
    <w:rsid w:val="002D1A27"/>
    <w:rsid w:val="00351E9D"/>
    <w:rsid w:val="00355569"/>
    <w:rsid w:val="00360D28"/>
    <w:rsid w:val="003931A9"/>
    <w:rsid w:val="003A17A4"/>
    <w:rsid w:val="003B4B60"/>
    <w:rsid w:val="003C1392"/>
    <w:rsid w:val="00425992"/>
    <w:rsid w:val="004A153C"/>
    <w:rsid w:val="004C159C"/>
    <w:rsid w:val="00516377"/>
    <w:rsid w:val="00582DC6"/>
    <w:rsid w:val="005D2F2B"/>
    <w:rsid w:val="006269EC"/>
    <w:rsid w:val="007A68DB"/>
    <w:rsid w:val="007A7F3E"/>
    <w:rsid w:val="008C1FC7"/>
    <w:rsid w:val="00995E01"/>
    <w:rsid w:val="00A4091D"/>
    <w:rsid w:val="00AC7A4D"/>
    <w:rsid w:val="00AD4636"/>
    <w:rsid w:val="00AF4715"/>
    <w:rsid w:val="00B056E8"/>
    <w:rsid w:val="00B061D7"/>
    <w:rsid w:val="00B13160"/>
    <w:rsid w:val="00BA51FE"/>
    <w:rsid w:val="00C645BC"/>
    <w:rsid w:val="00CB7580"/>
    <w:rsid w:val="00D25EA4"/>
    <w:rsid w:val="00D34413"/>
    <w:rsid w:val="00DC6B17"/>
    <w:rsid w:val="00E3275D"/>
    <w:rsid w:val="00E67936"/>
    <w:rsid w:val="00E97E3E"/>
    <w:rsid w:val="00F64CCF"/>
    <w:rsid w:val="00FB5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F8F74"/>
  <w15:chartTrackingRefBased/>
  <w15:docId w15:val="{996F59B8-FDA5-449E-AA47-6A0D38341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31A9"/>
    <w:rPr>
      <w:color w:val="0563C1" w:themeColor="hyperlink"/>
      <w:u w:val="single"/>
    </w:rPr>
  </w:style>
  <w:style w:type="character" w:styleId="Emphasis">
    <w:name w:val="Emphasis"/>
    <w:basedOn w:val="DefaultParagraphFont"/>
    <w:uiPriority w:val="20"/>
    <w:qFormat/>
    <w:rsid w:val="00AF4715"/>
    <w:rPr>
      <w:i/>
      <w:iCs/>
    </w:rPr>
  </w:style>
  <w:style w:type="paragraph" w:styleId="Header">
    <w:name w:val="header"/>
    <w:basedOn w:val="Normal"/>
    <w:link w:val="HeaderChar"/>
    <w:uiPriority w:val="99"/>
    <w:unhideWhenUsed/>
    <w:rsid w:val="00AF47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4715"/>
  </w:style>
  <w:style w:type="paragraph" w:styleId="Footer">
    <w:name w:val="footer"/>
    <w:basedOn w:val="Normal"/>
    <w:link w:val="FooterChar"/>
    <w:uiPriority w:val="99"/>
    <w:unhideWhenUsed/>
    <w:rsid w:val="00AF47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4715"/>
  </w:style>
  <w:style w:type="paragraph" w:styleId="BalloonText">
    <w:name w:val="Balloon Text"/>
    <w:basedOn w:val="Normal"/>
    <w:link w:val="BalloonTextChar"/>
    <w:uiPriority w:val="99"/>
    <w:semiHidden/>
    <w:unhideWhenUsed/>
    <w:rsid w:val="00351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1E9D"/>
    <w:rPr>
      <w:rFonts w:ascii="Segoe UI" w:hAnsi="Segoe UI" w:cs="Segoe UI"/>
      <w:sz w:val="18"/>
      <w:szCs w:val="18"/>
    </w:rPr>
  </w:style>
  <w:style w:type="paragraph" w:styleId="NoSpacing">
    <w:name w:val="No Spacing"/>
    <w:uiPriority w:val="1"/>
    <w:qFormat/>
    <w:rsid w:val="00DC6B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757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Nicole McGrath</cp:lastModifiedBy>
  <cp:revision>2</cp:revision>
  <cp:lastPrinted>2018-08-02T20:25:00Z</cp:lastPrinted>
  <dcterms:created xsi:type="dcterms:W3CDTF">2021-02-05T19:47:00Z</dcterms:created>
  <dcterms:modified xsi:type="dcterms:W3CDTF">2021-02-05T19:47:00Z</dcterms:modified>
</cp:coreProperties>
</file>